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71D91612" w:rsidR="00BF54FE" w:rsidRDefault="00422577" w:rsidP="006C2343">
      <w:pPr>
        <w:pStyle w:val="Tituldatum"/>
      </w:pPr>
      <w:sdt>
        <w:sdtPr>
          <w:rPr>
            <w:rStyle w:val="Nzevakce"/>
          </w:rPr>
          <w:alias w:val="Název akce - Vypsat pole, přenese se do zápatí"/>
          <w:tag w:val="Název akce"/>
          <w:id w:val="1889687308"/>
          <w:placeholder>
            <w:docPart w:val="AEEF0E51FF3443268007CA0255E7F1BD"/>
          </w:placeholder>
          <w:text w:multiLine="1"/>
        </w:sdtPr>
        <w:sdtEndPr>
          <w:rPr>
            <w:rStyle w:val="Nzevakce"/>
          </w:rPr>
        </w:sdtEndPr>
        <w:sdtContent>
          <w:r w:rsidR="003516D4" w:rsidRPr="003516D4">
            <w:rPr>
              <w:rStyle w:val="Nzevakce"/>
            </w:rPr>
            <w:t>Oprava výtahu v žst. Zábřeh na Moravě – výtah nástupiště č. 2</w:t>
          </w:r>
        </w:sdtContent>
      </w:sdt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4738EB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F13CC" w:rsidRPr="000E3412">
        <w:t>11. 08</w:t>
      </w:r>
      <w:r w:rsidR="003516D4" w:rsidRPr="000E3412">
        <w:t>. 2023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432AA38" w14:textId="2EBCF0D4" w:rsidR="005E250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758526" w:history="1">
        <w:r w:rsidR="005E2503" w:rsidRPr="00413291">
          <w:rPr>
            <w:rStyle w:val="Hypertextovodkaz"/>
          </w:rPr>
          <w:t>SEZNAM ZKRATEK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</w:t>
        </w:r>
        <w:r w:rsidR="005E2503">
          <w:rPr>
            <w:noProof/>
            <w:webHidden/>
          </w:rPr>
          <w:fldChar w:fldCharType="end"/>
        </w:r>
      </w:hyperlink>
    </w:p>
    <w:p w14:paraId="76B8ED73" w14:textId="47B59D16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27" w:history="1">
        <w:r w:rsidR="005E2503" w:rsidRPr="00413291">
          <w:rPr>
            <w:rStyle w:val="Hypertextovodkaz"/>
          </w:rPr>
          <w:t>Pojmy a definice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3</w:t>
        </w:r>
        <w:r w:rsidR="005E2503">
          <w:rPr>
            <w:noProof/>
            <w:webHidden/>
          </w:rPr>
          <w:fldChar w:fldCharType="end"/>
        </w:r>
      </w:hyperlink>
    </w:p>
    <w:p w14:paraId="2F7A3D14" w14:textId="369A11B7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28" w:history="1">
        <w:r w:rsidR="005E2503" w:rsidRPr="00413291">
          <w:rPr>
            <w:rStyle w:val="Hypertextovodkaz"/>
          </w:rPr>
          <w:t>1.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SPECIFIKACE PŘEDMĚTU DÍLA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7F85FC1B" w14:textId="34549A0B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29" w:history="1">
        <w:r w:rsidR="005E2503" w:rsidRPr="00413291">
          <w:rPr>
            <w:rStyle w:val="Hypertextovodkaz"/>
            <w:rFonts w:asciiTheme="majorHAnsi" w:hAnsiTheme="majorHAnsi"/>
          </w:rPr>
          <w:t>1.1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Účel a rozsah předmětu Díla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5225A1D3" w14:textId="5792ED7C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0" w:history="1">
        <w:r w:rsidR="005E2503" w:rsidRPr="00413291">
          <w:rPr>
            <w:rStyle w:val="Hypertextovodkaz"/>
            <w:rFonts w:asciiTheme="majorHAnsi" w:hAnsiTheme="majorHAnsi"/>
          </w:rPr>
          <w:t>1.2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Umístění stavby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08BE0BF9" w14:textId="33A263A9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1" w:history="1">
        <w:r w:rsidR="005E2503" w:rsidRPr="00413291">
          <w:rPr>
            <w:rStyle w:val="Hypertextovodkaz"/>
          </w:rPr>
          <w:t>2.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PŘEHLED VÝCHOZÍCH PODKLADŮ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7DDE0DA5" w14:textId="4430D0FC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2" w:history="1">
        <w:r w:rsidR="005E2503" w:rsidRPr="00413291">
          <w:rPr>
            <w:rStyle w:val="Hypertextovodkaz"/>
            <w:rFonts w:asciiTheme="majorHAnsi" w:hAnsiTheme="majorHAnsi"/>
          </w:rPr>
          <w:t>2.1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Projektová dokumentace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_Toc126758532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4ABE6A01" w14:textId="05038688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3" w:history="1">
        <w:r w:rsidR="005E2503" w:rsidRPr="00413291">
          <w:rPr>
            <w:rStyle w:val="Hypertextovodkaz"/>
            <w:rFonts w:asciiTheme="majorHAnsi" w:hAnsiTheme="majorHAnsi"/>
          </w:rPr>
          <w:t>2.2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Související dokumentace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_Toc126758533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05F573F8" w14:textId="55FBD44D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4" w:history="1">
        <w:r w:rsidR="005E2503" w:rsidRPr="00413291">
          <w:rPr>
            <w:rStyle w:val="Hypertextovodkaz"/>
          </w:rPr>
          <w:t>3.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KOORDINACE S JINÝMI STAVBAMI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_Toc126758534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5</w:t>
        </w:r>
        <w:r w:rsidR="005E2503">
          <w:rPr>
            <w:noProof/>
            <w:webHidden/>
          </w:rPr>
          <w:fldChar w:fldCharType="end"/>
        </w:r>
      </w:hyperlink>
    </w:p>
    <w:p w14:paraId="346EAF23" w14:textId="61249F59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5" w:history="1">
        <w:r w:rsidR="005E2503" w:rsidRPr="00413291">
          <w:rPr>
            <w:rStyle w:val="Hypertextovodkaz"/>
          </w:rPr>
          <w:t>4.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Zvláštní TECHNICKÉ podmímky a požadavky na PROVEDENÍ DÍLA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_Toc126758535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5</w:t>
        </w:r>
        <w:r w:rsidR="005E2503">
          <w:rPr>
            <w:noProof/>
            <w:webHidden/>
          </w:rPr>
          <w:fldChar w:fldCharType="end"/>
        </w:r>
      </w:hyperlink>
    </w:p>
    <w:p w14:paraId="1541947B" w14:textId="002A9B8E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6" w:history="1">
        <w:r w:rsidR="005E2503" w:rsidRPr="00413291">
          <w:rPr>
            <w:rStyle w:val="Hypertextovodkaz"/>
            <w:rFonts w:asciiTheme="majorHAnsi" w:hAnsiTheme="majorHAnsi"/>
          </w:rPr>
          <w:t>4.1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Všeobecně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5</w:t>
        </w:r>
        <w:r w:rsidR="005E2503">
          <w:rPr>
            <w:noProof/>
            <w:webHidden/>
          </w:rPr>
          <w:fldChar w:fldCharType="end"/>
        </w:r>
      </w:hyperlink>
    </w:p>
    <w:p w14:paraId="0FE9E018" w14:textId="0EE7E18A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7" w:history="1">
        <w:r w:rsidR="005E2503" w:rsidRPr="00413291">
          <w:rPr>
            <w:rStyle w:val="Hypertextovodkaz"/>
            <w:rFonts w:asciiTheme="majorHAnsi" w:hAnsiTheme="majorHAnsi"/>
          </w:rPr>
          <w:t>4.2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Zeměměřická činnost zhotovitele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14</w:t>
        </w:r>
        <w:r w:rsidR="005E2503">
          <w:rPr>
            <w:noProof/>
            <w:webHidden/>
          </w:rPr>
          <w:fldChar w:fldCharType="end"/>
        </w:r>
      </w:hyperlink>
    </w:p>
    <w:p w14:paraId="1A46AF0B" w14:textId="4DD6EF1C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8" w:history="1">
        <w:r w:rsidR="005E2503" w:rsidRPr="00413291">
          <w:rPr>
            <w:rStyle w:val="Hypertextovodkaz"/>
            <w:rFonts w:asciiTheme="majorHAnsi" w:hAnsiTheme="majorHAnsi"/>
          </w:rPr>
          <w:t>4.3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Doklady předkládané zhotovitelem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15</w:t>
        </w:r>
        <w:r w:rsidR="005E2503">
          <w:rPr>
            <w:noProof/>
            <w:webHidden/>
          </w:rPr>
          <w:fldChar w:fldCharType="end"/>
        </w:r>
      </w:hyperlink>
    </w:p>
    <w:p w14:paraId="24B606EC" w14:textId="4148659A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9" w:history="1">
        <w:r w:rsidR="005E2503" w:rsidRPr="00413291">
          <w:rPr>
            <w:rStyle w:val="Hypertextovodkaz"/>
            <w:rFonts w:asciiTheme="majorHAnsi" w:hAnsiTheme="majorHAnsi"/>
          </w:rPr>
          <w:t>4.4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Dokumentace zhotovitele pro stavbu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16</w:t>
        </w:r>
        <w:r w:rsidR="005E2503">
          <w:rPr>
            <w:noProof/>
            <w:webHidden/>
          </w:rPr>
          <w:fldChar w:fldCharType="end"/>
        </w:r>
      </w:hyperlink>
    </w:p>
    <w:p w14:paraId="763461F9" w14:textId="1B38B265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0" w:history="1">
        <w:r w:rsidR="005E2503" w:rsidRPr="00413291">
          <w:rPr>
            <w:rStyle w:val="Hypertextovodkaz"/>
            <w:rFonts w:asciiTheme="majorHAnsi" w:hAnsiTheme="majorHAnsi"/>
          </w:rPr>
          <w:t>4.5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Dokumentace skutečného provedení stavby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16</w:t>
        </w:r>
        <w:r w:rsidR="005E2503">
          <w:rPr>
            <w:noProof/>
            <w:webHidden/>
          </w:rPr>
          <w:fldChar w:fldCharType="end"/>
        </w:r>
      </w:hyperlink>
    </w:p>
    <w:p w14:paraId="529F9048" w14:textId="38718458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1" w:history="1">
        <w:r w:rsidR="005E2503" w:rsidRPr="00413291">
          <w:rPr>
            <w:rStyle w:val="Hypertextovodkaz"/>
            <w:rFonts w:asciiTheme="majorHAnsi" w:hAnsiTheme="majorHAnsi"/>
          </w:rPr>
          <w:t>4.6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Zabezpečovací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4E6EF9B0" w14:textId="12236904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2" w:history="1">
        <w:r w:rsidR="005E2503" w:rsidRPr="00413291">
          <w:rPr>
            <w:rStyle w:val="Hypertextovodkaz"/>
            <w:rFonts w:asciiTheme="majorHAnsi" w:hAnsiTheme="majorHAnsi"/>
          </w:rPr>
          <w:t>4.7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Sdělovací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_Toc126758542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126DC57C" w14:textId="1E18555E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3" w:history="1">
        <w:r w:rsidR="005E2503" w:rsidRPr="00413291">
          <w:rPr>
            <w:rStyle w:val="Hypertextovodkaz"/>
            <w:rFonts w:asciiTheme="majorHAnsi" w:hAnsiTheme="majorHAnsi"/>
          </w:rPr>
          <w:t>4.8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Silnoproudá technologie včetně DŘT, trakční a energetická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_Toc126758543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183DD2C8" w14:textId="3E4FA351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4" w:history="1">
        <w:r w:rsidR="005E2503" w:rsidRPr="00413291">
          <w:rPr>
            <w:rStyle w:val="Hypertextovodkaz"/>
            <w:rFonts w:asciiTheme="majorHAnsi" w:hAnsiTheme="majorHAnsi"/>
          </w:rPr>
          <w:t>4.9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Ostatní technologická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_Toc126758544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16CC06FE" w14:textId="76431170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5" w:history="1">
        <w:r w:rsidR="005E2503" w:rsidRPr="00413291">
          <w:rPr>
            <w:rStyle w:val="Hypertextovodkaz"/>
            <w:rFonts w:asciiTheme="majorHAnsi" w:hAnsiTheme="majorHAnsi"/>
          </w:rPr>
          <w:t>4.10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svršek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_Toc126758545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2C350AED" w14:textId="1FEDE9AE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6" w:history="1">
        <w:r w:rsidR="005E2503" w:rsidRPr="00413291">
          <w:rPr>
            <w:rStyle w:val="Hypertextovodkaz"/>
            <w:rFonts w:asciiTheme="majorHAnsi" w:hAnsiTheme="majorHAnsi"/>
          </w:rPr>
          <w:t>4.11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spodek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09F0F8F9" w14:textId="50522371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7" w:history="1">
        <w:r w:rsidR="005E2503" w:rsidRPr="00413291">
          <w:rPr>
            <w:rStyle w:val="Hypertextovodkaz"/>
            <w:rFonts w:asciiTheme="majorHAnsi" w:hAnsiTheme="majorHAnsi"/>
          </w:rPr>
          <w:t>4.12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Nástupiště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7C8C17E2" w14:textId="1841DABB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8" w:history="1">
        <w:r w:rsidR="005E2503" w:rsidRPr="00413291">
          <w:rPr>
            <w:rStyle w:val="Hypertextovodkaz"/>
            <w:rFonts w:asciiTheme="majorHAnsi" w:hAnsiTheme="majorHAnsi"/>
          </w:rPr>
          <w:t>4.13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přejezdy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257D387B" w14:textId="1D6348D7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9" w:history="1">
        <w:r w:rsidR="005E2503" w:rsidRPr="00413291">
          <w:rPr>
            <w:rStyle w:val="Hypertextovodkaz"/>
            <w:rFonts w:asciiTheme="majorHAnsi" w:hAnsiTheme="majorHAnsi"/>
          </w:rPr>
          <w:t>4.14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Mosty, propustky a zdi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4FEC986E" w14:textId="490B6C32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0" w:history="1">
        <w:r w:rsidR="005E2503" w:rsidRPr="00413291">
          <w:rPr>
            <w:rStyle w:val="Hypertextovodkaz"/>
            <w:rFonts w:asciiTheme="majorHAnsi" w:hAnsiTheme="majorHAnsi"/>
          </w:rPr>
          <w:t>4.15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Ostatní inženýrské objekty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42A09452" w14:textId="786DFCAC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1" w:history="1">
        <w:r w:rsidR="005E2503" w:rsidRPr="00413291">
          <w:rPr>
            <w:rStyle w:val="Hypertextovodkaz"/>
            <w:rFonts w:asciiTheme="majorHAnsi" w:hAnsiTheme="majorHAnsi"/>
          </w:rPr>
          <w:t>4.16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tunely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2566D7E5" w14:textId="2476377F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2" w:history="1">
        <w:r w:rsidR="005E2503" w:rsidRPr="00413291">
          <w:rPr>
            <w:rStyle w:val="Hypertextovodkaz"/>
            <w:rFonts w:asciiTheme="majorHAnsi" w:hAnsiTheme="majorHAnsi"/>
          </w:rPr>
          <w:t>4.17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Pozemní komunikace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_Toc126758552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75753851" w14:textId="38EB8166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3" w:history="1">
        <w:r w:rsidR="005E2503" w:rsidRPr="00413291">
          <w:rPr>
            <w:rStyle w:val="Hypertextovodkaz"/>
            <w:rFonts w:asciiTheme="majorHAnsi" w:hAnsiTheme="majorHAnsi"/>
          </w:rPr>
          <w:t>4.18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Kabelovody, kolektory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_Toc126758553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2CFE6A3F" w14:textId="690516E9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4" w:history="1">
        <w:r w:rsidR="005E2503" w:rsidRPr="00413291">
          <w:rPr>
            <w:rStyle w:val="Hypertextovodkaz"/>
            <w:rFonts w:asciiTheme="majorHAnsi" w:hAnsiTheme="majorHAnsi"/>
          </w:rPr>
          <w:t>4.19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Protihlukové objekty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_Toc126758554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373EBF3D" w14:textId="40F2C13B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5" w:history="1">
        <w:r w:rsidR="005E2503" w:rsidRPr="00413291">
          <w:rPr>
            <w:rStyle w:val="Hypertextovodkaz"/>
            <w:rFonts w:asciiTheme="majorHAnsi" w:hAnsiTheme="majorHAnsi"/>
          </w:rPr>
          <w:t>4.20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Pozemní stavební objekty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_Toc126758555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7D3B6484" w14:textId="73852C60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6" w:history="1">
        <w:r w:rsidR="005E2503" w:rsidRPr="00413291">
          <w:rPr>
            <w:rStyle w:val="Hypertextovodkaz"/>
            <w:rFonts w:asciiTheme="majorHAnsi" w:hAnsiTheme="majorHAnsi"/>
          </w:rPr>
          <w:t>4.21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Trakční a energická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6A8C2897" w14:textId="0928DB92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7" w:history="1">
        <w:r w:rsidR="005E2503" w:rsidRPr="00413291">
          <w:rPr>
            <w:rStyle w:val="Hypertextovodkaz"/>
            <w:rFonts w:asciiTheme="majorHAnsi" w:hAnsiTheme="majorHAnsi"/>
          </w:rPr>
          <w:t>4.22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Životní prostředí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19</w:t>
        </w:r>
        <w:r w:rsidR="005E2503">
          <w:rPr>
            <w:noProof/>
            <w:webHidden/>
          </w:rPr>
          <w:fldChar w:fldCharType="end"/>
        </w:r>
      </w:hyperlink>
    </w:p>
    <w:p w14:paraId="1DFE26D0" w14:textId="0E68E311" w:rsidR="005E2503" w:rsidRDefault="0042257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8" w:history="1">
        <w:r w:rsidR="005E2503" w:rsidRPr="00413291">
          <w:rPr>
            <w:rStyle w:val="Hypertextovodkaz"/>
            <w:rFonts w:asciiTheme="majorHAnsi" w:hAnsiTheme="majorHAnsi"/>
          </w:rPr>
          <w:t>4.23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Materiál dodávaný objednatelem (mimo CNM)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20</w:t>
        </w:r>
        <w:r w:rsidR="005E2503">
          <w:rPr>
            <w:noProof/>
            <w:webHidden/>
          </w:rPr>
          <w:fldChar w:fldCharType="end"/>
        </w:r>
      </w:hyperlink>
    </w:p>
    <w:p w14:paraId="3A23BA00" w14:textId="09D68A7E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59" w:history="1">
        <w:r w:rsidR="005E2503" w:rsidRPr="00413291">
          <w:rPr>
            <w:rStyle w:val="Hypertextovodkaz"/>
          </w:rPr>
          <w:t>5.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ORGANIZACE VÝSTAVBY, VÝLUKY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20</w:t>
        </w:r>
        <w:r w:rsidR="005E2503">
          <w:rPr>
            <w:noProof/>
            <w:webHidden/>
          </w:rPr>
          <w:fldChar w:fldCharType="end"/>
        </w:r>
      </w:hyperlink>
    </w:p>
    <w:p w14:paraId="07A373EF" w14:textId="145C3C85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60" w:history="1">
        <w:r w:rsidR="005E2503" w:rsidRPr="00413291">
          <w:rPr>
            <w:rStyle w:val="Hypertextovodkaz"/>
          </w:rPr>
          <w:t>6.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SOUVISEJÍCÍ DOKUMENTY A PŘEDPISY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_Toc126758560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21</w:t>
        </w:r>
        <w:r w:rsidR="005E2503">
          <w:rPr>
            <w:noProof/>
            <w:webHidden/>
          </w:rPr>
          <w:fldChar w:fldCharType="end"/>
        </w:r>
      </w:hyperlink>
    </w:p>
    <w:p w14:paraId="24A35AD0" w14:textId="7AB6513A" w:rsidR="005E2503" w:rsidRDefault="0042257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61" w:history="1">
        <w:r w:rsidR="005E2503" w:rsidRPr="00413291">
          <w:rPr>
            <w:rStyle w:val="Hypertextovodkaz"/>
          </w:rPr>
          <w:t>7.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PŘÍLOHY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_Toc126758561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21</w:t>
        </w:r>
        <w:r w:rsidR="005E2503">
          <w:rPr>
            <w:noProof/>
            <w:webHidden/>
          </w:rPr>
          <w:fldChar w:fldCharType="end"/>
        </w:r>
      </w:hyperlink>
    </w:p>
    <w:p w14:paraId="30D8D7FD" w14:textId="503B7635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6758526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6758527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7D47B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7D47B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7D47B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3BFC7CD" w14:textId="77777777" w:rsidR="006E0C39" w:rsidRPr="006E0C39" w:rsidRDefault="006E0C39" w:rsidP="006E0C39">
      <w:pPr>
        <w:pStyle w:val="Odstavecseseznamem"/>
        <w:rPr>
          <w:sz w:val="18"/>
          <w:szCs w:val="18"/>
        </w:rPr>
      </w:pPr>
    </w:p>
    <w:p w14:paraId="04447E69" w14:textId="77777777" w:rsidR="006E0C39" w:rsidRDefault="006E0C39" w:rsidP="006E0C3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>Technický dozor stavebníka</w:t>
      </w:r>
      <w:r>
        <w:rPr>
          <w:sz w:val="18"/>
          <w:szCs w:val="18"/>
        </w:rPr>
        <w:t xml:space="preserve"> (TDS) – Objednatel se zavazuje u staveb financovaných</w:t>
      </w:r>
    </w:p>
    <w:p w14:paraId="52B22642" w14:textId="77777777" w:rsidR="006E0C39" w:rsidRDefault="006E0C39" w:rsidP="006E0C3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z veřejného rozpočtu, které provádí Zhotovitel, zajistit technický dozor stavebníka (dále</w:t>
      </w:r>
    </w:p>
    <w:p w14:paraId="1772A0F3" w14:textId="77777777" w:rsidR="006E0C39" w:rsidRDefault="006E0C39" w:rsidP="006E0C3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jen „TDS“) nad prováděním Díla dle § 152 odst. (4) zákona č. 183/2006 Sb. Funkce</w:t>
      </w:r>
    </w:p>
    <w:p w14:paraId="23953E21" w14:textId="77777777" w:rsidR="006E0C39" w:rsidRDefault="006E0C39" w:rsidP="006E0C3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2F7D4624" w14:textId="77777777" w:rsidR="006E0C39" w:rsidRDefault="006E0C39" w:rsidP="006E0C3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1844AEE9" w14:textId="73F897DC" w:rsidR="006E0C39" w:rsidRPr="005D336A" w:rsidRDefault="006E0C39" w:rsidP="006E0C3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6758528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6758529"/>
      <w:r>
        <w:t>Účel a rozsah předmětu Díla</w:t>
      </w:r>
      <w:bookmarkEnd w:id="10"/>
      <w:bookmarkEnd w:id="11"/>
    </w:p>
    <w:p w14:paraId="4A923F7A" w14:textId="77777777" w:rsidR="00DF5963" w:rsidRPr="00DF5963" w:rsidRDefault="00DF5963" w:rsidP="00793BBB">
      <w:pPr>
        <w:pStyle w:val="Text2-1"/>
        <w:tabs>
          <w:tab w:val="clear" w:pos="3856"/>
          <w:tab w:val="num" w:pos="737"/>
        </w:tabs>
        <w:ind w:left="737"/>
      </w:pPr>
      <w:r w:rsidRPr="00DF5963">
        <w:t>Předmětem díla je zhotovení stavby „Oprava výtahu v žst. Zábřeh na Moravě – výtah nástupiště č. 2“, jejímž cílem je oprava výtahu v prostorách veřejnosti přístupných. Během vyproštění cestujících uvízlých ve výtahu došlo k poškození šachetních a kabinových dveří. Dále došlo k poškození vstupního portálu. Poškozený je snímač pohybu a poziční systém výtahu.</w:t>
      </w:r>
    </w:p>
    <w:p w14:paraId="4CCEB847" w14:textId="26E65060" w:rsidR="00793BBB" w:rsidRDefault="00DF5963" w:rsidP="00664686">
      <w:pPr>
        <w:pStyle w:val="Text2-1"/>
        <w:tabs>
          <w:tab w:val="clear" w:pos="3856"/>
          <w:tab w:val="num" w:pos="737"/>
        </w:tabs>
        <w:ind w:left="737"/>
      </w:pPr>
      <w:r>
        <w:t>Rozsah Díla „Oprava výtahu v žst. Zábřeh na Mora</w:t>
      </w:r>
      <w:r w:rsidR="00664686">
        <w:t>vě – výtah nástupiště č. 2“ je:</w:t>
      </w:r>
    </w:p>
    <w:p w14:paraId="06C2F82E" w14:textId="77777777" w:rsidR="00DF5963" w:rsidRDefault="00DF5963" w:rsidP="00DF5963">
      <w:pPr>
        <w:pStyle w:val="Text2-1"/>
        <w:numPr>
          <w:ilvl w:val="0"/>
          <w:numId w:val="0"/>
        </w:numPr>
        <w:ind w:left="737"/>
      </w:pPr>
      <w:r>
        <w:t xml:space="preserve">demontáž a likvidace poškozených dílů, výměna kabinových a šachetních dveří, výměna pohonu a řízení kabinových dveří, demontáž a montáž nového snímacího zařízení polohy kabiny,  montáž snímače pohybu, odzkoušení funkčnosti, uvedení do provozu dle ČSN. </w:t>
      </w:r>
    </w:p>
    <w:p w14:paraId="00B7B00A" w14:textId="77777777" w:rsidR="00DF5963" w:rsidRDefault="00DF5963" w:rsidP="00DF5963">
      <w:pPr>
        <w:pStyle w:val="Text2-1"/>
        <w:numPr>
          <w:ilvl w:val="0"/>
          <w:numId w:val="0"/>
        </w:numPr>
        <w:ind w:left="737"/>
      </w:pPr>
      <w:r>
        <w:t>- dále bude provedeno odzkoušení funkčnosti, uvedení do provozu dle ČSN.</w:t>
      </w:r>
    </w:p>
    <w:p w14:paraId="21E9335F" w14:textId="77777777" w:rsidR="00DF5963" w:rsidRDefault="00DF5963" w:rsidP="00DF5963">
      <w:pPr>
        <w:pStyle w:val="Text2-1"/>
        <w:numPr>
          <w:ilvl w:val="0"/>
          <w:numId w:val="0"/>
        </w:numPr>
        <w:ind w:left="737"/>
      </w:pPr>
      <w:r>
        <w:t>Součástí předmětu veřejné zakázky - nabídkové ceny, je oprava poškozených částí (výměnou)  a veškerá související doprava spojená s předmětem plnění.</w:t>
      </w:r>
    </w:p>
    <w:p w14:paraId="27FBE493" w14:textId="404A89E9" w:rsidR="00CE2A6B" w:rsidRPr="00140574" w:rsidRDefault="00CE2A6B" w:rsidP="00793BBB">
      <w:pPr>
        <w:pStyle w:val="Text2-1"/>
        <w:tabs>
          <w:tab w:val="clear" w:pos="3856"/>
          <w:tab w:val="num" w:pos="737"/>
        </w:tabs>
        <w:ind w:left="737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06FEE6F8" w14:textId="23B7CFC7" w:rsidR="00CE2A6B" w:rsidRPr="00140574" w:rsidRDefault="00140574" w:rsidP="00793BBB">
      <w:pPr>
        <w:pStyle w:val="Text2-1"/>
        <w:numPr>
          <w:ilvl w:val="0"/>
          <w:numId w:val="0"/>
        </w:numPr>
        <w:ind w:left="737"/>
      </w:pPr>
      <w:r w:rsidRPr="00140574">
        <w:t>neobsazeno</w:t>
      </w:r>
    </w:p>
    <w:p w14:paraId="3FFBD556" w14:textId="1C24F55C" w:rsidR="00517E55" w:rsidRPr="007E402F" w:rsidRDefault="00517E55" w:rsidP="00793BBB">
      <w:pPr>
        <w:pStyle w:val="Text2-1"/>
        <w:tabs>
          <w:tab w:val="clear" w:pos="3856"/>
          <w:tab w:val="num" w:pos="737"/>
        </w:tabs>
        <w:ind w:left="737"/>
      </w:pPr>
      <w:r w:rsidRPr="00517E55">
        <w:t>Rozsah díla je dále specifikován v</w:t>
      </w:r>
      <w:r w:rsidR="00EC02A5">
        <w:t> Soupisu prací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</w:t>
      </w:r>
      <w:r w:rsidR="00860F4E">
        <w:t>)</w:t>
      </w:r>
      <w:r w:rsidRPr="00793BBB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6758530"/>
      <w:r>
        <w:t>Umístění stavby</w:t>
      </w:r>
      <w:bookmarkEnd w:id="12"/>
      <w:bookmarkEnd w:id="13"/>
    </w:p>
    <w:p w14:paraId="4E8C3379" w14:textId="77777777" w:rsidR="00140574" w:rsidRDefault="00DF7BAA" w:rsidP="007D47B2">
      <w:pPr>
        <w:pStyle w:val="Text2-1"/>
        <w:numPr>
          <w:ilvl w:val="0"/>
          <w:numId w:val="0"/>
        </w:numPr>
        <w:ind w:firstLine="709"/>
      </w:pPr>
      <w:r>
        <w:t xml:space="preserve">Stavba bude probíhat na trati </w:t>
      </w:r>
      <w:r w:rsidR="00140574" w:rsidRPr="00140574">
        <w:t>270 Česká Třebová – Přerov</w:t>
      </w:r>
      <w:r w:rsidR="00140574">
        <w:t xml:space="preserve"> </w:t>
      </w:r>
    </w:p>
    <w:p w14:paraId="46BB6011" w14:textId="0B607075" w:rsidR="00517E55" w:rsidRDefault="00517E55" w:rsidP="007D47B2">
      <w:pPr>
        <w:pStyle w:val="Text2-1"/>
        <w:numPr>
          <w:ilvl w:val="0"/>
          <w:numId w:val="0"/>
        </w:numPr>
        <w:ind w:firstLine="709"/>
      </w:pPr>
      <w:r>
        <w:t>Kraj:</w:t>
      </w:r>
      <w:r w:rsidR="006E0C39">
        <w:t xml:space="preserve"> </w:t>
      </w:r>
      <w:r w:rsidR="00140574">
        <w:t>Olomoucký</w:t>
      </w:r>
    </w:p>
    <w:p w14:paraId="50C118F7" w14:textId="0647A068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140574">
        <w:t>Šumperk</w:t>
      </w:r>
    </w:p>
    <w:p w14:paraId="2BC5441F" w14:textId="193BA7AF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Obec:</w:t>
      </w:r>
      <w:r w:rsidR="00140574" w:rsidRPr="00140574">
        <w:t xml:space="preserve"> </w:t>
      </w:r>
      <w:r w:rsidR="00140574">
        <w:t>Zábřeh na Moravě (541354)</w:t>
      </w:r>
    </w:p>
    <w:p w14:paraId="03957CE5" w14:textId="095C1356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140574" w:rsidRPr="007E7A29">
        <w:t>1901G1 žst. Zábřeh na Moravě., 39,7 km+87 m</w:t>
      </w:r>
    </w:p>
    <w:p w14:paraId="09F5040D" w14:textId="3AB863BF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140574">
        <w:t>Zábřeh na Moravě (789429)</w:t>
      </w:r>
    </w:p>
    <w:p w14:paraId="691293AA" w14:textId="6D3ADF97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140574">
        <w:rPr>
          <w:rFonts w:cs="Arial"/>
        </w:rPr>
        <w:t>5493/4</w:t>
      </w:r>
      <w:r>
        <w:t xml:space="preserve"> </w:t>
      </w:r>
    </w:p>
    <w:p w14:paraId="4B38DE9B" w14:textId="69071227" w:rsidR="00517E55" w:rsidRPr="00517E55" w:rsidRDefault="00140574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140574">
        <w:t>Bližší popis: osobní výtah na nástupišti č.2</w:t>
      </w:r>
      <w:r w:rsidR="00517E55">
        <w:t xml:space="preserve"> </w:t>
      </w:r>
    </w:p>
    <w:p w14:paraId="2F0403DD" w14:textId="4852F0F2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>Zařazení tratě:</w:t>
      </w:r>
      <w:r w:rsidR="007D47B2">
        <w:t xml:space="preserve"> dráha celostátní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6758531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6758532"/>
      <w:r>
        <w:t>Projektová dokumentace</w:t>
      </w:r>
      <w:bookmarkEnd w:id="16"/>
      <w:bookmarkEnd w:id="17"/>
    </w:p>
    <w:p w14:paraId="02BE1DF7" w14:textId="6E8CB648" w:rsidR="00615BEC" w:rsidRDefault="0002642A" w:rsidP="00793BBB">
      <w:pPr>
        <w:pStyle w:val="Text2-1"/>
        <w:tabs>
          <w:tab w:val="clear" w:pos="3856"/>
          <w:tab w:val="num" w:pos="737"/>
        </w:tabs>
        <w:ind w:left="737"/>
      </w:pPr>
      <w:r w:rsidRPr="008D440D">
        <w:t xml:space="preserve">Projektová dokumentace na </w:t>
      </w:r>
      <w:r w:rsidRPr="007D47B2">
        <w:t>stavbu „</w:t>
      </w:r>
      <w:r w:rsidR="007D47B2" w:rsidRPr="007D47B2">
        <w:t>Oprava výtahu v žst. Zábřeh na Moravě – výtah nástupiště č. 2</w:t>
      </w:r>
      <w:r w:rsidRPr="007D47B2">
        <w:t>“, není vyhotovena. Její</w:t>
      </w:r>
      <w:r w:rsidRPr="008D440D">
        <w:t xml:space="preserve"> obsah nahrazuj</w:t>
      </w:r>
      <w:r w:rsidR="00860F4E">
        <w:t>í dokumenty uvedené v</w:t>
      </w:r>
      <w:r w:rsidRPr="008D440D">
        <w:t xml:space="preserve"> Díl</w:t>
      </w:r>
      <w:r w:rsidR="00860F4E">
        <w:t>u</w:t>
      </w:r>
      <w:r w:rsidRPr="008D440D">
        <w:t xml:space="preserve"> 3 Zadávací dokumentace</w:t>
      </w:r>
      <w:r w:rsidR="00860F4E">
        <w:t>, případně další část</w:t>
      </w:r>
      <w:r w:rsidR="006E0C39">
        <w:t>i</w:t>
      </w:r>
      <w:r w:rsidR="00860F4E">
        <w:t xml:space="preserve"> Zadávací dokumentace. </w:t>
      </w:r>
      <w:bookmarkStart w:id="18" w:name="_Hlk121215263"/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26758533"/>
      <w:bookmarkEnd w:id="18"/>
      <w:r w:rsidRPr="00860F4E">
        <w:t>Související dokumentace</w:t>
      </w:r>
      <w:bookmarkEnd w:id="19"/>
      <w:bookmarkEnd w:id="20"/>
    </w:p>
    <w:p w14:paraId="241A176F" w14:textId="0BE56F93" w:rsidR="008170FD" w:rsidRDefault="008170FD" w:rsidP="00793BBB">
      <w:pPr>
        <w:pStyle w:val="Text2-1"/>
        <w:tabs>
          <w:tab w:val="clear" w:pos="3856"/>
          <w:tab w:val="num" w:pos="737"/>
        </w:tabs>
        <w:ind w:left="737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6758534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793BBB">
      <w:pPr>
        <w:pStyle w:val="Text2-1"/>
        <w:tabs>
          <w:tab w:val="clear" w:pos="3856"/>
          <w:tab w:val="num" w:pos="737"/>
        </w:tabs>
        <w:ind w:left="737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793BBB">
      <w:pPr>
        <w:pStyle w:val="Text2-1"/>
        <w:tabs>
          <w:tab w:val="clear" w:pos="3856"/>
          <w:tab w:val="num" w:pos="737"/>
        </w:tabs>
        <w:ind w:left="737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6758535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6758536"/>
      <w:r>
        <w:t>Všeobecně</w:t>
      </w:r>
      <w:bookmarkEnd w:id="25"/>
      <w:bookmarkEnd w:id="26"/>
    </w:p>
    <w:p w14:paraId="65F9A068" w14:textId="77777777" w:rsidR="003B0494" w:rsidRDefault="003B0494" w:rsidP="00793BBB">
      <w:pPr>
        <w:pStyle w:val="Text2-1"/>
        <w:tabs>
          <w:tab w:val="clear" w:pos="3856"/>
          <w:tab w:val="num" w:pos="737"/>
        </w:tabs>
        <w:ind w:left="737"/>
      </w:pPr>
      <w:r w:rsidRPr="00793BBB"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05A2115E" w:rsidR="003B0494" w:rsidRDefault="003B0494" w:rsidP="00793BBB">
      <w:pPr>
        <w:pStyle w:val="Text2-1"/>
        <w:tabs>
          <w:tab w:val="clear" w:pos="3856"/>
          <w:tab w:val="num" w:pos="737"/>
        </w:tabs>
        <w:ind w:left="737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EC70756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6E0C39">
        <w:t>nepoužije</w:t>
      </w:r>
      <w:r w:rsidR="00F04838">
        <w:t>.</w:t>
      </w:r>
    </w:p>
    <w:p w14:paraId="13EDD7E0" w14:textId="387E512B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6E0C39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0090A81D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6E0C39">
        <w:t>nepoužijí</w:t>
      </w:r>
      <w:r w:rsidRPr="00EB6387">
        <w:t xml:space="preserve">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1B39704A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6E0C39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43397121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6E0C39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 xml:space="preserve">V objektech zařízení Staveniště je Zhotovitel povinen na vlastní náklady zřídit a zajišťovat provoz prostorů pro výkon Stavebního dozoru a pracovního týmu </w:t>
      </w:r>
      <w:r>
        <w:lastRenderedPageBreak/>
        <w:t>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6C0333F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6E0C39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2A6C8E15" w14:textId="5EA1C071" w:rsidR="004C1240" w:rsidRPr="004C1240" w:rsidRDefault="004C1240" w:rsidP="007345FE">
      <w:pPr>
        <w:pStyle w:val="Text2-2"/>
        <w:ind w:left="1701" w:hanging="992"/>
      </w:pPr>
      <w:r>
        <w:t xml:space="preserve">Čl. 1.11.5.1 TKP, </w:t>
      </w:r>
      <w:r w:rsidR="006E0C39">
        <w:t>se nepoužijí odstavce</w:t>
      </w:r>
      <w:r>
        <w:t xml:space="preserve"> 4</w:t>
      </w:r>
      <w:r w:rsidR="006E0C39">
        <w:t xml:space="preserve"> a 5</w:t>
      </w:r>
      <w:r>
        <w:t>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68C8EEA3" w:rsidR="00735BE7" w:rsidRPr="00735F5B" w:rsidRDefault="006E0C39" w:rsidP="006E0C39">
      <w:pPr>
        <w:pStyle w:val="Text2-1"/>
        <w:ind w:left="709" w:hanging="709"/>
        <w:rPr>
          <w:b/>
        </w:rPr>
      </w:pPr>
      <w:r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524CD147" w:rsidR="00735F5B" w:rsidRPr="008D1303" w:rsidRDefault="00735F5B" w:rsidP="007345FE">
      <w:pPr>
        <w:pStyle w:val="Text2-2"/>
        <w:ind w:left="1701" w:hanging="992"/>
      </w:pPr>
      <w:r>
        <w:t>Objednatel se zavazuje zajistit Zhotov</w:t>
      </w:r>
      <w:r w:rsidR="00051D13">
        <w:t>iteli právo užívání Staveniště,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6E0C39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 xml:space="preserve">, včetně evidence o jejich uskladnění, využití nebo odstranění, a to včetně </w:t>
      </w:r>
      <w:r w:rsidRPr="00EA0BE4">
        <w:lastRenderedPageBreak/>
        <w:t>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2E9139A0" w:rsidR="00421120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DBF5B93" w14:textId="77777777" w:rsidR="00422577" w:rsidRDefault="00422577" w:rsidP="00422577">
      <w:pPr>
        <w:pStyle w:val="Text2-2"/>
        <w:ind w:left="1701" w:hanging="992"/>
      </w:pPr>
      <w:r>
        <w:rPr>
          <w:b/>
        </w:rPr>
        <w:t xml:space="preserve">U majetkoprávního </w:t>
      </w:r>
      <w:r w:rsidRPr="00422577">
        <w:t>vypořádání s ČD</w:t>
      </w:r>
      <w:r>
        <w:t xml:space="preserve"> se Zhotovitel zavazuje respektovat aktuální stav a postupy vypořádání v rámci </w:t>
      </w:r>
      <w:r w:rsidRPr="00422577">
        <w:t>UMVŽST.</w:t>
      </w:r>
    </w:p>
    <w:p w14:paraId="2128DAE4" w14:textId="77777777" w:rsidR="00422577" w:rsidRDefault="00422577" w:rsidP="00422577">
      <w:pPr>
        <w:pStyle w:val="Text2-2"/>
        <w:ind w:left="1701" w:hanging="992"/>
      </w:pPr>
      <w:r>
        <w:t xml:space="preserve">Veškeré pracovní postupy nutné ke zhotovení Díla a odstraňování jeho vad, se Zhotovitel zavazuje provádět tak, aby bez řádného projednání s vlastníky </w:t>
      </w:r>
      <w:r w:rsidRPr="00422577">
        <w:t>nezasahovaly do majetku a práv třetích osob.</w:t>
      </w:r>
    </w:p>
    <w:p w14:paraId="3762110E" w14:textId="77777777" w:rsidR="00422577" w:rsidRDefault="00422577" w:rsidP="00422577">
      <w:pPr>
        <w:pStyle w:val="Text2-2"/>
        <w:ind w:left="1701" w:hanging="992"/>
      </w:pPr>
      <w:r>
        <w:t xml:space="preserve">Pokud je </w:t>
      </w:r>
      <w:r w:rsidRPr="00422577">
        <w:t>podzemní vedení</w:t>
      </w:r>
      <w:r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483510B7" w14:textId="77777777" w:rsidR="00422577" w:rsidRDefault="00422577" w:rsidP="00422577">
      <w:pPr>
        <w:pStyle w:val="Text2-2"/>
        <w:ind w:left="1701" w:hanging="992"/>
      </w:pPr>
      <w:r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36CF1306" w14:textId="77777777" w:rsidR="00422577" w:rsidRDefault="00422577" w:rsidP="00422577">
      <w:pPr>
        <w:pStyle w:val="Text2-2"/>
        <w:ind w:left="1701" w:hanging="992"/>
      </w:pPr>
      <w:r>
        <w:t>Výkopové práce pro podzemní vedení a zařízení technické infrastruktury se Zhotovitel zavazuje koordinovat s ostatní stavební činností v rámci Staveniště.</w:t>
      </w:r>
    </w:p>
    <w:p w14:paraId="41199F27" w14:textId="77777777" w:rsidR="00422577" w:rsidRDefault="00422577" w:rsidP="00422577">
      <w:pPr>
        <w:pStyle w:val="Text2-2"/>
        <w:ind w:left="1701" w:hanging="992"/>
      </w:pPr>
      <w:r>
        <w:t>Zhotovitel provede ruční kopané sondy za účelem ověření skutečného vedení inženýrské sítě před započetím zemních prací strojmo.</w:t>
      </w:r>
    </w:p>
    <w:p w14:paraId="030D2339" w14:textId="418561E9" w:rsidR="00422577" w:rsidRDefault="00422577" w:rsidP="00422577">
      <w:pPr>
        <w:pStyle w:val="Text2-2"/>
        <w:ind w:left="1701" w:hanging="992"/>
      </w:pPr>
      <w:r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  <w:r>
        <w:t>.</w:t>
      </w:r>
    </w:p>
    <w:p w14:paraId="00049EEA" w14:textId="77777777" w:rsidR="00422577" w:rsidRPr="00422577" w:rsidRDefault="00422577" w:rsidP="00422577">
      <w:pPr>
        <w:pStyle w:val="Text2-2"/>
        <w:ind w:left="1701" w:hanging="992"/>
      </w:pPr>
      <w:r>
        <w:t xml:space="preserve">Zhotovitel se zavazuje nejméně 5 dní před zahájením příslušné činnosti oznámit TDS a projednat s příslušným vlastníkem (správcem) </w:t>
      </w:r>
      <w:r w:rsidRPr="00422577">
        <w:t>zásahy do jeho provozovaného zařízení technické infrastruktury.</w:t>
      </w:r>
    </w:p>
    <w:p w14:paraId="4C51369F" w14:textId="77777777" w:rsidR="00422577" w:rsidRDefault="00422577" w:rsidP="00422577">
      <w:pPr>
        <w:pStyle w:val="Text2-2"/>
        <w:ind w:left="1701" w:hanging="992"/>
      </w:pPr>
      <w:r>
        <w:t xml:space="preserve">V případě plánované výluky (vypnutí) </w:t>
      </w:r>
      <w:r w:rsidRPr="00422577">
        <w:t>přejezdového zabezpečovacího zařízení,</w:t>
      </w:r>
      <w:r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543602E4" w14:textId="62A953C4" w:rsidR="00422577" w:rsidRDefault="00422577" w:rsidP="00422577">
      <w:pPr>
        <w:pStyle w:val="Text2-2"/>
        <w:ind w:left="1701" w:hanging="992"/>
      </w:pPr>
      <w:r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</w:t>
      </w:r>
    </w:p>
    <w:p w14:paraId="211C68F8" w14:textId="5C4140CA" w:rsidR="00422577" w:rsidRDefault="00422577" w:rsidP="00422577">
      <w:pPr>
        <w:pStyle w:val="Text2-2"/>
        <w:ind w:left="1701" w:hanging="992"/>
      </w:pPr>
      <w:r w:rsidRPr="00422577">
        <w:t>Změny během výstavby</w:t>
      </w:r>
      <w:r>
        <w:t>, musí být řešeny a zpracovány podle směrnice SŽ SM105</w:t>
      </w:r>
    </w:p>
    <w:p w14:paraId="51BD75E5" w14:textId="77777777" w:rsidR="00422577" w:rsidRDefault="00422577" w:rsidP="00422577">
      <w:pPr>
        <w:pStyle w:val="Text2-2"/>
        <w:ind w:left="1701" w:hanging="992"/>
      </w:pPr>
      <w:r>
        <w:t xml:space="preserve">Zhotovitel je v termínu do 7 dnů od účinnosti SOD povinen písemně oznámit Objednateli (TDS) </w:t>
      </w:r>
      <w:r w:rsidRPr="00422577">
        <w:t>vady a nedostatky v Projektové dokumentaci</w:t>
      </w:r>
      <w:r>
        <w:t xml:space="preserve">, u kterých lze oprávněně předpokládat, že vlivem stavební činnosti a veškeré činnosti Zhotovitele, spojené s prováděním Díla, </w:t>
      </w:r>
      <w:r w:rsidRPr="00422577">
        <w:t>budou mít negativní/škodlivý</w:t>
      </w:r>
      <w:r>
        <w:t xml:space="preserve"> </w:t>
      </w:r>
      <w:r w:rsidRPr="00422577">
        <w:t>vliv na životní prostředí</w:t>
      </w:r>
      <w:r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</w:t>
      </w:r>
      <w:r>
        <w:lastRenderedPageBreak/>
        <w:t>s právními předpisy na ochranu životního prostředí, stejně tak jako i pokuty a poplatky uložené orgány veřejné správy během provádění Díla.</w:t>
      </w:r>
    </w:p>
    <w:p w14:paraId="6C60ACA1" w14:textId="77777777" w:rsidR="00422577" w:rsidRDefault="00422577" w:rsidP="00422577">
      <w:pPr>
        <w:pStyle w:val="Text2-2"/>
        <w:ind w:left="1701" w:hanging="992"/>
      </w:pPr>
      <w:r>
        <w:t xml:space="preserve">Zhotovitel vždy </w:t>
      </w:r>
      <w:proofErr w:type="gramStart"/>
      <w:r>
        <w:t>předloží</w:t>
      </w:r>
      <w:proofErr w:type="gramEnd"/>
      <w:r>
        <w:t xml:space="preserve"> Objednateli před převzetím části Díla nebo Díla jako podklad ke kolaudačnímu souhlasu nebo kolaudačnímu rozhodnutí </w:t>
      </w:r>
      <w:r w:rsidRPr="00422577">
        <w:t>doklady o nakládání s odpady</w:t>
      </w:r>
      <w:r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>
        <w:t>výzisku</w:t>
      </w:r>
      <w:proofErr w:type="spellEnd"/>
      <w:r>
        <w:t>, včetně evidence o jejich uskladnění, využití nebo odstranění, a to včetně provozovatelů zařízení určeného pro nakládání s odpady, jimž byly odpady předány.</w:t>
      </w:r>
    </w:p>
    <w:p w14:paraId="53CB7F8B" w14:textId="77777777" w:rsidR="00422577" w:rsidRDefault="00422577" w:rsidP="00422577">
      <w:pPr>
        <w:pStyle w:val="Text2-2"/>
        <w:ind w:left="1701" w:hanging="992"/>
      </w:pPr>
      <w:r>
        <w:t xml:space="preserve">Zhotovitel zpracuje </w:t>
      </w:r>
      <w:r>
        <w:rPr>
          <w:b/>
        </w:rPr>
        <w:t>Závěrečnou zprávu odpadového hospodářství stavby</w:t>
      </w:r>
      <w:r>
        <w:t xml:space="preserve"> podle závazné osnovy uvedené v Příloze B.1 směrnice SŽ SM096, Směrnice pro nakládání s odpady, čj. 36061/2022-SŽ-GŘ-O15 ze dne 1. 6. 2022 (dále jen „SŽ SM096“), včetně </w:t>
      </w:r>
      <w:r>
        <w:rPr>
          <w:b/>
        </w:rPr>
        <w:t>Výkazu o předcházení vzniku odpadu a nakládání s odpady</w:t>
      </w:r>
      <w:r>
        <w:t xml:space="preserve"> dle Přílohy B.2 směrnice SŽ SM096.</w:t>
      </w:r>
    </w:p>
    <w:p w14:paraId="3A0CD717" w14:textId="40E8D66E" w:rsidR="00422577" w:rsidRDefault="00422577" w:rsidP="00422577">
      <w:pPr>
        <w:pStyle w:val="Text2-2"/>
        <w:ind w:left="1701" w:hanging="992"/>
      </w:pPr>
      <w:r>
        <w:t>Zhotovitel se zavazuje Objednateli sdělit, kde bude dle požadavků právních předpisů uchovávat potřebné doklady o nakládání s odpady.</w:t>
      </w:r>
    </w:p>
    <w:p w14:paraId="0778B899" w14:textId="77777777" w:rsidR="00422577" w:rsidRDefault="00422577" w:rsidP="00422577">
      <w:pPr>
        <w:pStyle w:val="Text2-2"/>
        <w:ind w:left="1701" w:hanging="992"/>
      </w:pPr>
      <w:r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3D4E8BF1" w14:textId="77777777" w:rsidR="00422577" w:rsidRDefault="00422577" w:rsidP="00422577">
      <w:pPr>
        <w:pStyle w:val="Text2-2"/>
        <w:ind w:left="1701" w:hanging="992"/>
      </w:pPr>
      <w:r>
        <w:t>Zhotovitel se zavazuje zajistit, že na všech vozidlech Zhotovitele a Poddodavatelů, používaných na Staveništi, bude viditelně vyznačena obchodní firma nebo jméno.</w:t>
      </w:r>
    </w:p>
    <w:p w14:paraId="128907EC" w14:textId="782746B8" w:rsidR="00422577" w:rsidRPr="006F687F" w:rsidRDefault="00422577" w:rsidP="00422577">
      <w:pPr>
        <w:pStyle w:val="Text2-2"/>
        <w:ind w:left="1701" w:hanging="992"/>
      </w:pPr>
      <w:r>
        <w:t xml:space="preserve">Zhotovitel u </w:t>
      </w:r>
      <w:r w:rsidRPr="00422577">
        <w:t xml:space="preserve">provozované činnosti se zvýšeným/vysokým požárním nebezpečím </w:t>
      </w:r>
      <w:r>
        <w:t>(§ 4 zákona č. 133/1985 Sb., o požární ochraně, včetně prováděcích předpisu k tomuto zákonu),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</w:t>
      </w:r>
      <w:r>
        <w:t>.</w:t>
      </w:r>
    </w:p>
    <w:p w14:paraId="4F09C53C" w14:textId="2D9E2319" w:rsidR="00DF7BAA" w:rsidRPr="00DB1800" w:rsidRDefault="00DF7BAA" w:rsidP="00DF7BAA">
      <w:pPr>
        <w:pStyle w:val="Nadpis2-2"/>
      </w:pPr>
      <w:bookmarkStart w:id="35" w:name="_Toc6410438"/>
      <w:bookmarkStart w:id="36" w:name="_Toc126758538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5"/>
      <w:bookmarkEnd w:id="36"/>
    </w:p>
    <w:p w14:paraId="44E06185" w14:textId="1F7BE850" w:rsidR="00D12C76" w:rsidRDefault="00562909" w:rsidP="00793BBB">
      <w:pPr>
        <w:pStyle w:val="Text2-1"/>
        <w:tabs>
          <w:tab w:val="clear" w:pos="3856"/>
          <w:tab w:val="num" w:pos="737"/>
        </w:tabs>
        <w:ind w:left="737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793BBB">
      <w:pPr>
        <w:pStyle w:val="Text2-1"/>
        <w:tabs>
          <w:tab w:val="clear" w:pos="3856"/>
          <w:tab w:val="num" w:pos="737"/>
        </w:tabs>
        <w:ind w:left="737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37" w:name="_Toc6410439"/>
      <w:bookmarkStart w:id="38" w:name="_Toc126758539"/>
      <w:r w:rsidRPr="00953A4A">
        <w:t>Dokumentace zhotovitele pro stavbu</w:t>
      </w:r>
      <w:bookmarkEnd w:id="37"/>
      <w:bookmarkEnd w:id="38"/>
    </w:p>
    <w:p w14:paraId="68B2109F" w14:textId="5BF73C6B" w:rsidR="00953A4A" w:rsidRPr="00953A4A" w:rsidRDefault="00953A4A" w:rsidP="00793BBB">
      <w:pPr>
        <w:pStyle w:val="Text2-1"/>
        <w:tabs>
          <w:tab w:val="clear" w:pos="3856"/>
          <w:tab w:val="num" w:pos="737"/>
        </w:tabs>
        <w:ind w:left="737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793BBB">
      <w:pPr>
        <w:pStyle w:val="Text2-1"/>
        <w:tabs>
          <w:tab w:val="clear" w:pos="3856"/>
          <w:tab w:val="num" w:pos="737"/>
        </w:tabs>
        <w:ind w:left="737"/>
      </w:pPr>
      <w:r w:rsidRPr="00953A4A">
        <w:lastRenderedPageBreak/>
        <w:t xml:space="preserve">Za dodání schválené související výkresové dokumentace pro ostatní stavební postupy zodpovídá Zhotovitel stavby v souladu s přílohou P8 směrnice SŽ SM011. </w:t>
      </w:r>
    </w:p>
    <w:p w14:paraId="7926CA01" w14:textId="5654D948" w:rsidR="00793BBB" w:rsidRPr="00953A4A" w:rsidRDefault="00740821" w:rsidP="00793BBB">
      <w:pPr>
        <w:pStyle w:val="Text2-1"/>
        <w:tabs>
          <w:tab w:val="clear" w:pos="3856"/>
          <w:tab w:val="num" w:pos="737"/>
        </w:tabs>
        <w:ind w:left="737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39" w:name="_Toc6410440"/>
      <w:bookmarkStart w:id="40" w:name="_Toc126758540"/>
      <w:r w:rsidRPr="006411F1">
        <w:t>Dokumentace skutečného provedení stavby</w:t>
      </w:r>
      <w:bookmarkEnd w:id="39"/>
      <w:bookmarkEnd w:id="40"/>
    </w:p>
    <w:p w14:paraId="09AE9382" w14:textId="61C5C04B" w:rsidR="006411F1" w:rsidRPr="001E5853" w:rsidRDefault="006411F1" w:rsidP="001E5853">
      <w:pPr>
        <w:pStyle w:val="Text2-1"/>
        <w:tabs>
          <w:tab w:val="clear" w:pos="3856"/>
          <w:tab w:val="num" w:pos="737"/>
        </w:tabs>
        <w:ind w:left="737"/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332E7F04" w14:textId="5BCB8D42" w:rsidR="001E5853" w:rsidRPr="001E5853" w:rsidRDefault="00422577" w:rsidP="001E5853">
      <w:pPr>
        <w:pStyle w:val="Text2-1"/>
        <w:tabs>
          <w:tab w:val="clear" w:pos="3856"/>
          <w:tab w:val="num" w:pos="737"/>
        </w:tabs>
        <w:ind w:left="737"/>
      </w:pPr>
      <w:r>
        <w:t>Zhotovitel</w:t>
      </w:r>
      <w:r w:rsidR="00535B55">
        <w:t xml:space="preserve"> předá veškerou technickou dokumentaci související s realizací a dokončením Díla (blíže vymezeno v Díl</w:t>
      </w:r>
      <w:r>
        <w:t>u</w:t>
      </w:r>
      <w:r w:rsidR="00535B55">
        <w:t xml:space="preserve"> 3 Zadávací dokumentace)</w:t>
      </w:r>
      <w:r>
        <w:t>.</w:t>
      </w:r>
    </w:p>
    <w:p w14:paraId="3B67C881" w14:textId="77777777" w:rsidR="00DF7BAA" w:rsidRDefault="00DF7BAA" w:rsidP="00DF7BAA">
      <w:pPr>
        <w:pStyle w:val="Nadpis2-2"/>
      </w:pPr>
      <w:bookmarkStart w:id="41" w:name="_Toc126758557"/>
      <w:bookmarkStart w:id="42" w:name="_Toc6410458"/>
      <w:r>
        <w:t>Životní prostředí</w:t>
      </w:r>
      <w:bookmarkEnd w:id="41"/>
      <w:r>
        <w:t xml:space="preserve"> </w:t>
      </w:r>
      <w:bookmarkEnd w:id="42"/>
    </w:p>
    <w:p w14:paraId="0E03E227" w14:textId="63BA41BD" w:rsidR="00067FA3" w:rsidRPr="00722BEB" w:rsidRDefault="001860E7" w:rsidP="005502A5">
      <w:pPr>
        <w:pStyle w:val="Text2-1"/>
        <w:tabs>
          <w:tab w:val="clear" w:pos="3856"/>
          <w:tab w:val="num" w:pos="2410"/>
          <w:tab w:val="num" w:pos="5076"/>
        </w:tabs>
        <w:ind w:left="709" w:hanging="709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588E1EA3" w14:textId="45C4FDC8" w:rsidR="00535B55" w:rsidRDefault="00E50E94" w:rsidP="005502A5">
      <w:pPr>
        <w:pStyle w:val="Text2-2"/>
        <w:tabs>
          <w:tab w:val="num" w:pos="1276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3EEC7294" w14:textId="68962963" w:rsidR="00422577" w:rsidRPr="001E5853" w:rsidRDefault="00422577" w:rsidP="005502A5">
      <w:pPr>
        <w:pStyle w:val="Text2-2"/>
        <w:tabs>
          <w:tab w:val="num" w:pos="1276"/>
        </w:tabs>
        <w:ind w:left="1701" w:hanging="992"/>
        <w:rPr>
          <w:b/>
        </w:rPr>
      </w:pPr>
      <w:r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>
        <w:rPr>
          <w:rStyle w:val="Tun"/>
        </w:rPr>
        <w:t>slouží</w:t>
      </w:r>
      <w:proofErr w:type="gramEnd"/>
      <w:r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</w:t>
      </w:r>
      <w:r>
        <w:rPr>
          <w:rStyle w:val="Tun"/>
        </w:rPr>
        <w:t>.</w:t>
      </w:r>
    </w:p>
    <w:p w14:paraId="188B588A" w14:textId="77777777" w:rsidR="00DF7BAA" w:rsidRDefault="00DF7BAA" w:rsidP="00DF7BAA">
      <w:pPr>
        <w:pStyle w:val="Nadpis2-1"/>
      </w:pPr>
      <w:bookmarkStart w:id="43" w:name="_Toc6410460"/>
      <w:bookmarkStart w:id="44" w:name="_Toc126758559"/>
      <w:r w:rsidRPr="00EC2E51">
        <w:t>ORGANIZACE</w:t>
      </w:r>
      <w:r>
        <w:t xml:space="preserve"> VÝSTAVBY, VÝLUKY</w:t>
      </w:r>
      <w:bookmarkEnd w:id="43"/>
      <w:bookmarkEnd w:id="44"/>
    </w:p>
    <w:p w14:paraId="524A57E6" w14:textId="4DBE56D5" w:rsidR="00535B55" w:rsidRDefault="00DF7BAA" w:rsidP="005502A5">
      <w:pPr>
        <w:pStyle w:val="Text2-1"/>
        <w:tabs>
          <w:tab w:val="clear" w:pos="3856"/>
          <w:tab w:val="num" w:pos="3544"/>
        </w:tabs>
        <w:ind w:left="709" w:hanging="709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0F5AE20C" w14:textId="77777777" w:rsidR="00535B55" w:rsidRPr="00535B55" w:rsidRDefault="00535B55" w:rsidP="00535B55">
      <w:pPr>
        <w:pStyle w:val="Text2-1"/>
        <w:numPr>
          <w:ilvl w:val="0"/>
          <w:numId w:val="0"/>
        </w:numPr>
        <w:ind w:left="3856" w:hanging="737"/>
      </w:pP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9D4120F" w14:textId="77777777" w:rsidR="00535B55" w:rsidRPr="00E200FE" w:rsidRDefault="00535B55" w:rsidP="00535B5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200FE">
              <w:rPr>
                <w:sz w:val="14"/>
              </w:rPr>
              <w:t>do 5 pracovních dnů od účinnosti smlouvy</w:t>
            </w:r>
          </w:p>
          <w:p w14:paraId="5BAE7785" w14:textId="6BC162AB" w:rsidR="00580BF5" w:rsidRPr="008B4F46" w:rsidRDefault="00535B55" w:rsidP="00535B5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E200FE">
              <w:rPr>
                <w:sz w:val="14"/>
              </w:rPr>
              <w:t>(předpoklad srpen</w:t>
            </w:r>
            <w:r w:rsidR="00422577">
              <w:rPr>
                <w:sz w:val="14"/>
              </w:rPr>
              <w:t>/září</w:t>
            </w:r>
            <w:r w:rsidRPr="00E200FE">
              <w:rPr>
                <w:sz w:val="14"/>
              </w:rPr>
              <w:t xml:space="preserve"> 2023)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433F07F7" w:rsidR="00580BF5" w:rsidRPr="00933460" w:rsidRDefault="00933460" w:rsidP="00580BF5">
            <w:pPr>
              <w:pStyle w:val="Tabulka-7"/>
            </w:pPr>
            <w:r w:rsidRPr="00933460">
              <w:t xml:space="preserve">1. Stavební postup </w:t>
            </w:r>
          </w:p>
        </w:tc>
        <w:tc>
          <w:tcPr>
            <w:tcW w:w="3073" w:type="dxa"/>
          </w:tcPr>
          <w:p w14:paraId="68FF7475" w14:textId="4AAE303C" w:rsidR="00580BF5" w:rsidRPr="0093346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3460">
              <w:t>Přípravné práce</w:t>
            </w:r>
            <w:r w:rsidR="00933460" w:rsidRPr="00933460">
              <w:t xml:space="preserve"> (výroba dílů)</w:t>
            </w:r>
          </w:p>
        </w:tc>
        <w:tc>
          <w:tcPr>
            <w:tcW w:w="1694" w:type="dxa"/>
          </w:tcPr>
          <w:p w14:paraId="2B23A969" w14:textId="77777777" w:rsidR="00580BF5" w:rsidRPr="0093346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3460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6A08747F" w:rsidR="00580BF5" w:rsidRPr="00933460" w:rsidRDefault="00422577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září</w:t>
            </w:r>
            <w:r w:rsidR="00933460" w:rsidRPr="00933460">
              <w:rPr>
                <w:sz w:val="14"/>
              </w:rPr>
              <w:t xml:space="preserve"> </w:t>
            </w:r>
            <w:r w:rsidR="00580BF5" w:rsidRPr="00933460">
              <w:rPr>
                <w:sz w:val="14"/>
              </w:rPr>
              <w:t xml:space="preserve"> 20</w:t>
            </w:r>
            <w:r w:rsidR="008B4F46" w:rsidRPr="00933460">
              <w:rPr>
                <w:sz w:val="14"/>
              </w:rPr>
              <w:t>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08566E0D" w:rsidR="00580BF5" w:rsidRPr="00933460" w:rsidRDefault="00933460" w:rsidP="00580BF5">
            <w:pPr>
              <w:pStyle w:val="Tabulka-7"/>
            </w:pPr>
            <w:r w:rsidRPr="00933460">
              <w:t xml:space="preserve">2. Stavební postup </w:t>
            </w:r>
          </w:p>
        </w:tc>
        <w:tc>
          <w:tcPr>
            <w:tcW w:w="3073" w:type="dxa"/>
          </w:tcPr>
          <w:p w14:paraId="786C1D3A" w14:textId="2E6FF3A1" w:rsidR="00580BF5" w:rsidRPr="00933460" w:rsidRDefault="0093346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3460">
              <w:t>Vlastní oprava výtahu</w:t>
            </w:r>
          </w:p>
        </w:tc>
        <w:tc>
          <w:tcPr>
            <w:tcW w:w="1694" w:type="dxa"/>
          </w:tcPr>
          <w:p w14:paraId="66AA44B0" w14:textId="56CCB927" w:rsidR="00580BF5" w:rsidRPr="00933460" w:rsidRDefault="0093346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3460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5AA74946" w:rsidR="00580BF5" w:rsidRPr="00933460" w:rsidRDefault="0093346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33460">
              <w:rPr>
                <w:sz w:val="14"/>
              </w:rPr>
              <w:t xml:space="preserve">září – </w:t>
            </w:r>
            <w:r w:rsidR="00422577">
              <w:rPr>
                <w:sz w:val="14"/>
              </w:rPr>
              <w:t>listopad 2023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7C8DCB9D" w:rsidR="00580BF5" w:rsidRPr="00BC51B8" w:rsidRDefault="0093346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BA725E">
              <w:rPr>
                <w:sz w:val="14"/>
              </w:rPr>
              <w:t>do 90 dní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A7F48BA" w:rsidR="00580BF5" w:rsidRPr="00BC51B8" w:rsidRDefault="00933460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BA725E">
              <w:rPr>
                <w:sz w:val="14"/>
              </w:rPr>
              <w:t>do 90 dní ode dne zahájení stavby</w:t>
            </w:r>
          </w:p>
        </w:tc>
      </w:tr>
    </w:tbl>
    <w:p w14:paraId="3433DF18" w14:textId="19B73B78" w:rsidR="00DF7BAA" w:rsidRDefault="00DF7BAA" w:rsidP="00DF7BAA">
      <w:pPr>
        <w:pStyle w:val="Nadpis2-1"/>
      </w:pPr>
      <w:bookmarkStart w:id="45" w:name="_Toc6410461"/>
      <w:bookmarkStart w:id="46" w:name="_Toc126758560"/>
      <w:r w:rsidRPr="00EC2E51">
        <w:t>SOUVISEJÍCÍ</w:t>
      </w:r>
      <w:r>
        <w:t xml:space="preserve"> DOKUMENTY A PŘEDPISY</w:t>
      </w:r>
      <w:bookmarkEnd w:id="45"/>
      <w:bookmarkEnd w:id="46"/>
    </w:p>
    <w:p w14:paraId="45027675" w14:textId="1384D317" w:rsidR="009C4EEA" w:rsidRPr="007D016E" w:rsidRDefault="009C4EEA" w:rsidP="001E5853">
      <w:pPr>
        <w:pStyle w:val="Text2-1"/>
        <w:tabs>
          <w:tab w:val="clear" w:pos="3856"/>
          <w:tab w:val="num" w:pos="737"/>
        </w:tabs>
        <w:ind w:left="737"/>
      </w:pPr>
      <w:r w:rsidRPr="001E5853"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1E5853">
        <w:t>vše v platném znění.</w:t>
      </w:r>
    </w:p>
    <w:p w14:paraId="443DC60B" w14:textId="47C09EFB" w:rsidR="001E5853" w:rsidRDefault="00024EF0" w:rsidP="001E5853">
      <w:pPr>
        <w:pStyle w:val="Text2-1"/>
        <w:tabs>
          <w:tab w:val="clear" w:pos="3856"/>
          <w:tab w:val="num" w:pos="737"/>
        </w:tabs>
        <w:ind w:left="737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694BC424" w:rsidR="00EF61C8" w:rsidRPr="00E85446" w:rsidRDefault="00422577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Pr="008D5060" w:rsidRDefault="00DF7BAA" w:rsidP="00DF7BAA">
      <w:pPr>
        <w:pStyle w:val="Nadpis2-1"/>
      </w:pPr>
      <w:bookmarkStart w:id="47" w:name="_Toc6410462"/>
      <w:bookmarkStart w:id="48" w:name="_Toc126758561"/>
      <w:r w:rsidRPr="008D5060">
        <w:t>PŘÍLOHY</w:t>
      </w:r>
      <w:bookmarkEnd w:id="47"/>
      <w:bookmarkEnd w:id="48"/>
    </w:p>
    <w:p w14:paraId="520CC0CC" w14:textId="3A25DD0B" w:rsidR="00F66DA9" w:rsidRPr="008D5060" w:rsidRDefault="00933460" w:rsidP="005502A5">
      <w:pPr>
        <w:pStyle w:val="Text2-1"/>
        <w:tabs>
          <w:tab w:val="clear" w:pos="3856"/>
        </w:tabs>
        <w:ind w:left="851" w:hanging="851"/>
      </w:pPr>
      <w:r w:rsidRPr="008D5060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7D47B2" w:rsidRDefault="007D47B2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7D47B2" w:rsidRDefault="007D47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D47B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E7E6D04" w:rsidR="007D47B2" w:rsidRPr="00B8518B" w:rsidRDefault="007D47B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585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585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902B72D" w14:textId="4325062C" w:rsidR="006E0C39" w:rsidRDefault="005502A5" w:rsidP="003462EB">
          <w:pPr>
            <w:pStyle w:val="Zpatvlevo"/>
            <w:rPr>
              <w:noProof/>
            </w:rPr>
          </w:pPr>
          <w:fldSimple w:instr=" STYLEREF  _Název_akce  \* MERGEFORMAT ">
            <w:r w:rsidR="00422577">
              <w:rPr>
                <w:noProof/>
              </w:rPr>
              <w:t>Oprava výtahu v žst. Zábřeh na Moravě – výtah nástupiště č. 2</w:t>
            </w:r>
          </w:fldSimple>
        </w:p>
        <w:p w14:paraId="7FFFE8AC" w14:textId="60A1C4AB" w:rsidR="007D47B2" w:rsidRDefault="007D47B2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7D47B2" w:rsidRPr="003462EB" w:rsidRDefault="007D47B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D47B2" w:rsidRPr="00614E71" w:rsidRDefault="007D47B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D47B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08CAF7F" w14:textId="5F052F12" w:rsidR="006E0C39" w:rsidRDefault="005502A5" w:rsidP="003B111D">
          <w:pPr>
            <w:pStyle w:val="Zpatvpravo"/>
            <w:rPr>
              <w:noProof/>
            </w:rPr>
          </w:pPr>
          <w:fldSimple w:instr=" STYLEREF  _Název_akce  \* MERGEFORMAT ">
            <w:r w:rsidR="00422577">
              <w:rPr>
                <w:noProof/>
              </w:rPr>
              <w:t>Oprava výtahu v žst. Zábřeh na Moravě – výtah nástupiště č. 2</w:t>
            </w:r>
          </w:fldSimple>
        </w:p>
        <w:p w14:paraId="7B4693AA" w14:textId="38C09E7B" w:rsidR="007D47B2" w:rsidRDefault="007D47B2" w:rsidP="003B111D">
          <w:pPr>
            <w:pStyle w:val="Zpatvpravo"/>
          </w:pPr>
          <w:r>
            <w:t>Příloha č. 2 b)</w:t>
          </w:r>
        </w:p>
        <w:p w14:paraId="5D9BD160" w14:textId="3081E1ED" w:rsidR="007D47B2" w:rsidRPr="003462EB" w:rsidRDefault="007D47B2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45FC856A" w:rsidR="007D47B2" w:rsidRPr="009E09BE" w:rsidRDefault="007D47B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585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585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D47B2" w:rsidRPr="00B8518B" w:rsidRDefault="007D47B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D47B2" w:rsidRPr="00B8518B" w:rsidRDefault="007D47B2" w:rsidP="00460660">
    <w:pPr>
      <w:pStyle w:val="Zpat"/>
      <w:rPr>
        <w:sz w:val="2"/>
        <w:szCs w:val="2"/>
      </w:rPr>
    </w:pPr>
  </w:p>
  <w:p w14:paraId="53F277EE" w14:textId="77777777" w:rsidR="007D47B2" w:rsidRDefault="007D47B2" w:rsidP="00757290">
    <w:pPr>
      <w:pStyle w:val="Zpatvlevo"/>
      <w:rPr>
        <w:rFonts w:cs="Calibri"/>
        <w:szCs w:val="12"/>
      </w:rPr>
    </w:pPr>
  </w:p>
  <w:p w14:paraId="17EFC080" w14:textId="77777777" w:rsidR="007D47B2" w:rsidRPr="00460660" w:rsidRDefault="007D47B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7D47B2" w:rsidRDefault="007D47B2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7D47B2" w:rsidRDefault="007D47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D47B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D47B2" w:rsidRPr="00B8518B" w:rsidRDefault="007D47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D47B2" w:rsidRDefault="007D47B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D47B2" w:rsidRPr="00D6163D" w:rsidRDefault="007D47B2" w:rsidP="00FC6389">
          <w:pPr>
            <w:pStyle w:val="Druhdokumentu"/>
          </w:pPr>
        </w:p>
      </w:tc>
    </w:tr>
    <w:tr w:rsidR="007D47B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D47B2" w:rsidRPr="00B8518B" w:rsidRDefault="007D47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D47B2" w:rsidRDefault="007D47B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D47B2" w:rsidRPr="00D6163D" w:rsidRDefault="007D47B2" w:rsidP="00FC6389">
          <w:pPr>
            <w:pStyle w:val="Druhdokumentu"/>
          </w:pPr>
        </w:p>
      </w:tc>
    </w:tr>
  </w:tbl>
  <w:p w14:paraId="53E85CAA" w14:textId="77777777" w:rsidR="007D47B2" w:rsidRPr="00D6163D" w:rsidRDefault="007D47B2" w:rsidP="00FC6389">
    <w:pPr>
      <w:pStyle w:val="Zhlav"/>
      <w:rPr>
        <w:sz w:val="8"/>
        <w:szCs w:val="8"/>
      </w:rPr>
    </w:pPr>
  </w:p>
  <w:p w14:paraId="1437D3AE" w14:textId="77777777" w:rsidR="007D47B2" w:rsidRPr="00460660" w:rsidRDefault="007D47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3856"/>
        </w:tabs>
        <w:ind w:left="3856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6068"/>
        </w:tabs>
        <w:ind w:left="6068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910462">
    <w:abstractNumId w:val="8"/>
  </w:num>
  <w:num w:numId="2" w16cid:durableId="1755974531">
    <w:abstractNumId w:val="6"/>
  </w:num>
  <w:num w:numId="3" w16cid:durableId="522942356">
    <w:abstractNumId w:val="4"/>
  </w:num>
  <w:num w:numId="4" w16cid:durableId="1008294514">
    <w:abstractNumId w:val="9"/>
  </w:num>
  <w:num w:numId="5" w16cid:durableId="152991287">
    <w:abstractNumId w:val="11"/>
  </w:num>
  <w:num w:numId="6" w16cid:durableId="622809970">
    <w:abstractNumId w:val="5"/>
  </w:num>
  <w:num w:numId="7" w16cid:durableId="1276866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6186120">
    <w:abstractNumId w:val="15"/>
  </w:num>
  <w:num w:numId="9" w16cid:durableId="1898975715">
    <w:abstractNumId w:val="0"/>
  </w:num>
  <w:num w:numId="10" w16cid:durableId="1226113213">
    <w:abstractNumId w:val="9"/>
  </w:num>
  <w:num w:numId="11" w16cid:durableId="1593779269">
    <w:abstractNumId w:val="11"/>
  </w:num>
  <w:num w:numId="12" w16cid:durableId="308634805">
    <w:abstractNumId w:val="14"/>
  </w:num>
  <w:num w:numId="13" w16cid:durableId="235673098">
    <w:abstractNumId w:val="3"/>
  </w:num>
  <w:num w:numId="14" w16cid:durableId="346372740">
    <w:abstractNumId w:val="5"/>
  </w:num>
  <w:num w:numId="15" w16cid:durableId="1327515423">
    <w:abstractNumId w:val="15"/>
  </w:num>
  <w:num w:numId="16" w16cid:durableId="1158963278">
    <w:abstractNumId w:val="7"/>
  </w:num>
  <w:num w:numId="17" w16cid:durableId="553469346">
    <w:abstractNumId w:val="10"/>
  </w:num>
  <w:num w:numId="18" w16cid:durableId="1818185350">
    <w:abstractNumId w:val="2"/>
  </w:num>
  <w:num w:numId="19" w16cid:durableId="157618552">
    <w:abstractNumId w:val="5"/>
  </w:num>
  <w:num w:numId="20" w16cid:durableId="1846751073">
    <w:abstractNumId w:val="5"/>
  </w:num>
  <w:num w:numId="21" w16cid:durableId="9896774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6962716">
    <w:abstractNumId w:val="13"/>
  </w:num>
  <w:num w:numId="23" w16cid:durableId="425928818">
    <w:abstractNumId w:val="5"/>
  </w:num>
  <w:num w:numId="24" w16cid:durableId="93063197">
    <w:abstractNumId w:val="5"/>
  </w:num>
  <w:num w:numId="25" w16cid:durableId="1742018311">
    <w:abstractNumId w:val="12"/>
  </w:num>
  <w:num w:numId="26" w16cid:durableId="749541460">
    <w:abstractNumId w:val="5"/>
  </w:num>
  <w:num w:numId="27" w16cid:durableId="1079713960">
    <w:abstractNumId w:val="5"/>
  </w:num>
  <w:num w:numId="28" w16cid:durableId="52196235">
    <w:abstractNumId w:val="5"/>
  </w:num>
  <w:num w:numId="29" w16cid:durableId="1474174438">
    <w:abstractNumId w:val="1"/>
  </w:num>
  <w:num w:numId="30" w16cid:durableId="885602940">
    <w:abstractNumId w:val="5"/>
  </w:num>
  <w:num w:numId="31" w16cid:durableId="1304770302">
    <w:abstractNumId w:val="5"/>
  </w:num>
  <w:num w:numId="32" w16cid:durableId="787312277">
    <w:abstractNumId w:val="5"/>
  </w:num>
  <w:num w:numId="33" w16cid:durableId="626349802">
    <w:abstractNumId w:val="5"/>
  </w:num>
  <w:num w:numId="34" w16cid:durableId="1702050886">
    <w:abstractNumId w:val="5"/>
  </w:num>
  <w:num w:numId="35" w16cid:durableId="1097139779">
    <w:abstractNumId w:val="5"/>
  </w:num>
  <w:num w:numId="36" w16cid:durableId="1131245684">
    <w:abstractNumId w:val="5"/>
  </w:num>
  <w:num w:numId="37" w16cid:durableId="629018931">
    <w:abstractNumId w:val="5"/>
  </w:num>
  <w:num w:numId="38" w16cid:durableId="1153108263">
    <w:abstractNumId w:val="5"/>
  </w:num>
  <w:num w:numId="39" w16cid:durableId="1224020932">
    <w:abstractNumId w:val="5"/>
  </w:num>
  <w:num w:numId="40" w16cid:durableId="989138028">
    <w:abstractNumId w:val="5"/>
  </w:num>
  <w:num w:numId="41" w16cid:durableId="1694457990">
    <w:abstractNumId w:val="5"/>
  </w:num>
  <w:num w:numId="42" w16cid:durableId="1498420927">
    <w:abstractNumId w:val="5"/>
  </w:num>
  <w:num w:numId="43" w16cid:durableId="2085562054">
    <w:abstractNumId w:val="5"/>
  </w:num>
  <w:num w:numId="44" w16cid:durableId="1712264556">
    <w:abstractNumId w:val="5"/>
  </w:num>
  <w:num w:numId="45" w16cid:durableId="768114296">
    <w:abstractNumId w:val="5"/>
  </w:num>
  <w:num w:numId="46" w16cid:durableId="2072314057">
    <w:abstractNumId w:val="5"/>
  </w:num>
  <w:num w:numId="47" w16cid:durableId="190192048">
    <w:abstractNumId w:val="5"/>
  </w:num>
  <w:num w:numId="48" w16cid:durableId="179046507">
    <w:abstractNumId w:val="5"/>
  </w:num>
  <w:num w:numId="49" w16cid:durableId="1466192884">
    <w:abstractNumId w:val="5"/>
  </w:num>
  <w:num w:numId="50" w16cid:durableId="667561631">
    <w:abstractNumId w:val="5"/>
  </w:num>
  <w:num w:numId="51" w16cid:durableId="67804504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 w16cid:durableId="1552813102">
    <w:abstractNumId w:val="5"/>
  </w:num>
  <w:num w:numId="53" w16cid:durableId="1779637891">
    <w:abstractNumId w:val="5"/>
  </w:num>
  <w:num w:numId="54" w16cid:durableId="1957635717">
    <w:abstractNumId w:val="5"/>
  </w:num>
  <w:num w:numId="55" w16cid:durableId="226306183">
    <w:abstractNumId w:val="5"/>
  </w:num>
  <w:num w:numId="56" w16cid:durableId="1339311843">
    <w:abstractNumId w:val="5"/>
  </w:num>
  <w:num w:numId="57" w16cid:durableId="873613685">
    <w:abstractNumId w:val="5"/>
  </w:num>
  <w:num w:numId="58" w16cid:durableId="1440877829">
    <w:abstractNumId w:val="5"/>
  </w:num>
  <w:num w:numId="59" w16cid:durableId="100729491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1D13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0574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5F3B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5853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16D4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13CC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577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3157"/>
    <w:rsid w:val="00515137"/>
    <w:rsid w:val="00517E55"/>
    <w:rsid w:val="00521BB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B55"/>
    <w:rsid w:val="005403D3"/>
    <w:rsid w:val="005406EB"/>
    <w:rsid w:val="00540FAD"/>
    <w:rsid w:val="00545AD1"/>
    <w:rsid w:val="005502A5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4686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0C39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3BBB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47B2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5060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3460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5963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C1A61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8DE2404-C5DB-4C6B-8D2B-6E395A1394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497</TotalTime>
  <Pages>10</Pages>
  <Words>3786</Words>
  <Characters>22344</Characters>
  <Application>Microsoft Office Word</Application>
  <DocSecurity>0</DocSecurity>
  <Lines>186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21</cp:revision>
  <cp:lastPrinted>2023-02-06T13:26:00Z</cp:lastPrinted>
  <dcterms:created xsi:type="dcterms:W3CDTF">2023-02-06T09:20:00Z</dcterms:created>
  <dcterms:modified xsi:type="dcterms:W3CDTF">2023-08-17T09:21:00Z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